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9FB4715" w14:paraId="59722E1D" wp14:textId="55D6FC7D">
      <w:pPr>
        <w:pStyle w:val="Heading2"/>
        <w:numPr>
          <w:ilvl w:val="1"/>
          <w:numId w:val="1"/>
        </w:numPr>
        <w:spacing w:before="0" w:beforeAutospacing="off" w:after="0" w:afterAutospacing="off"/>
        <w:ind w:left="576" w:right="0" w:hanging="576"/>
        <w:jc w:val="both"/>
        <w:rPr>
          <w:rFonts w:ascii="Calibri Light" w:hAnsi="Calibri Light" w:eastAsia="Calibri Light" w:cs="Calibri Light"/>
          <w:b w:val="1"/>
          <w:bCs w:val="1"/>
          <w:noProof w:val="0"/>
          <w:sz w:val="28"/>
          <w:szCs w:val="28"/>
          <w:lang w:val="nl-BE"/>
        </w:rPr>
      </w:pPr>
      <w:r w:rsidRPr="19FB4715" w:rsidR="30F19778">
        <w:rPr>
          <w:rFonts w:ascii="Calibri Light" w:hAnsi="Calibri Light" w:eastAsia="Calibri Light" w:cs="Calibri Light"/>
          <w:b w:val="1"/>
          <w:bCs w:val="1"/>
          <w:noProof w:val="0"/>
          <w:sz w:val="28"/>
          <w:szCs w:val="28"/>
          <w:lang w:val="nl-BE"/>
        </w:rPr>
        <w:t>Aanbevelingen voor beleidsmakers</w:t>
      </w:r>
    </w:p>
    <w:p xmlns:wp14="http://schemas.microsoft.com/office/word/2010/wordml" w:rsidP="19FB4715" w14:paraId="6FF90C6B" wp14:textId="0BCC6E28">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0448807A" wp14:textId="3DB21270">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De huidige regelgevende context voor wooncoöperaties in België wordt gekenmerkt door een gebrek aan rechtszekerheid en hoge zoek- en transactiekosten voor initiatiefnemers. Systeempioniers op het vlak van coöperatief wonen moeten vaak zelf de grenzen van de regelgeving aftasten, op het kruispunt tussen het vennootschapsrecht, fiscaal recht en Vlaamse en lokale woonbeleid. In de praktijk betekent dit bijvoorbeeld dat zij zich genoodzaakt zien om via de Dienst Voorafgaande Beslissingen (DVB) of via gespecialiseerde fiscale adviestrajecten uitsluitsel te verkrijgen over de toepasselijke fiscale behandeling. Deze procedures zijn duur en tijdsintensief – wat voor kleinere coöperaties een aanzienlijke drempel vormt en betaalbaar wonen tegenwerkt. Dit leidt tot een ongelijk speelveld tussen klassieke woonmodellen en wooncoöperaties, waarbij de eersten automatisch kunnen rekenen op bestaande gunstregimes, terwijl de laatsten aanzienlijke onzekerheden dragen. </w:t>
      </w:r>
    </w:p>
    <w:p xmlns:wp14="http://schemas.microsoft.com/office/word/2010/wordml" w:rsidP="19FB4715" w14:paraId="5CBA8E16" wp14:textId="7D4ACDDF">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3BA45C31" w14:paraId="6308E976" w14:noSpellErr="1" wp14:textId="1F1A61B9">
      <w:pPr>
        <w:spacing w:before="0" w:beforeAutospacing="off" w:after="0" w:afterAutospacing="off"/>
        <w:jc w:val="both"/>
        <w:rPr>
          <w:rFonts w:ascii="Calibri Light" w:hAnsi="Calibri Light" w:eastAsia="Calibri Light" w:cs="Calibri Light"/>
          <w:noProof w:val="0"/>
          <w:sz w:val="20"/>
          <w:szCs w:val="20"/>
          <w:lang w:val="nl-BE"/>
        </w:rPr>
      </w:pPr>
      <w:r w:rsidRPr="3AB67E5A" w:rsidR="30F19778">
        <w:rPr>
          <w:rFonts w:ascii="Calibri Light" w:hAnsi="Calibri Light" w:eastAsia="Calibri Light" w:cs="Calibri Light"/>
          <w:noProof w:val="0"/>
          <w:sz w:val="20"/>
          <w:szCs w:val="20"/>
          <w:lang w:val="nl-BE"/>
        </w:rPr>
        <w:t xml:space="preserve">Het essentiële verschil op het vlak van de fiscaliteit en andere regelgeving tussen klassieke woonmodellen en het coöperatief model houdt in dat de bewoner in dit laatste model aandelen verwerft in de coöperatie en niet </w:t>
      </w:r>
      <w:r w:rsidRPr="3AB67E5A" w:rsidR="30F19778">
        <w:rPr>
          <w:rFonts w:ascii="Calibri Light" w:hAnsi="Calibri Light" w:eastAsia="Calibri Light" w:cs="Calibri Light"/>
          <w:i w:val="1"/>
          <w:iCs w:val="1"/>
          <w:noProof w:val="0"/>
          <w:sz w:val="20"/>
          <w:szCs w:val="20"/>
          <w:lang w:val="nl-BE"/>
        </w:rPr>
        <w:t>rechtstreeks</w:t>
      </w:r>
      <w:r w:rsidRPr="3AB67E5A" w:rsidR="30F19778">
        <w:rPr>
          <w:rFonts w:ascii="Calibri Light" w:hAnsi="Calibri Light" w:eastAsia="Calibri Light" w:cs="Calibri Light"/>
          <w:noProof w:val="0"/>
          <w:sz w:val="20"/>
          <w:szCs w:val="20"/>
          <w:lang w:val="nl-BE"/>
        </w:rPr>
        <w:t xml:space="preserve"> eigenaar wordt van ‘de stenen’. </w:t>
      </w:r>
      <w:r w:rsidRPr="3AB67E5A" w:rsidR="024BF554">
        <w:rPr>
          <w:rFonts w:ascii="Calibri Light" w:hAnsi="Calibri Light" w:eastAsia="Calibri Light" w:cs="Calibri Light"/>
          <w:noProof w:val="0"/>
          <w:sz w:val="20"/>
          <w:szCs w:val="20"/>
          <w:lang w:val="nl-BE"/>
        </w:rPr>
        <w:t>I</w:t>
      </w:r>
      <w:r w:rsidRPr="3AB67E5A" w:rsidR="30F19778">
        <w:rPr>
          <w:rFonts w:ascii="Calibri Light" w:hAnsi="Calibri Light" w:eastAsia="Calibri Light" w:cs="Calibri Light"/>
          <w:noProof w:val="0"/>
          <w:sz w:val="20"/>
          <w:szCs w:val="20"/>
          <w:lang w:val="nl-BE"/>
        </w:rPr>
        <w:t xml:space="preserve">n een aantal gevallen </w:t>
      </w:r>
      <w:r w:rsidRPr="3AB67E5A" w:rsidR="5EF7B437">
        <w:rPr>
          <w:rFonts w:ascii="Calibri Light" w:hAnsi="Calibri Light" w:eastAsia="Calibri Light" w:cs="Calibri Light"/>
          <w:noProof w:val="0"/>
          <w:sz w:val="20"/>
          <w:szCs w:val="20"/>
          <w:lang w:val="nl-BE"/>
        </w:rPr>
        <w:t xml:space="preserve">is </w:t>
      </w:r>
      <w:r w:rsidRPr="3AB67E5A" w:rsidR="30F19778">
        <w:rPr>
          <w:rFonts w:ascii="Calibri Light" w:hAnsi="Calibri Light" w:eastAsia="Calibri Light" w:cs="Calibri Light"/>
          <w:noProof w:val="0"/>
          <w:sz w:val="20"/>
          <w:szCs w:val="20"/>
          <w:lang w:val="nl-BE"/>
        </w:rPr>
        <w:t>het onderscheid tussen beide situaties neutraal</w:t>
      </w:r>
      <w:r w:rsidRPr="3AB67E5A" w:rsidR="6AFA9371">
        <w:rPr>
          <w:rFonts w:ascii="Calibri Light" w:hAnsi="Calibri Light" w:eastAsia="Calibri Light" w:cs="Calibri Light"/>
          <w:noProof w:val="0"/>
          <w:sz w:val="20"/>
          <w:szCs w:val="20"/>
          <w:lang w:val="nl-BE"/>
        </w:rPr>
        <w:t xml:space="preserve"> </w:t>
      </w:r>
      <w:r w:rsidRPr="3AB67E5A" w:rsidR="30F19778">
        <w:rPr>
          <w:rFonts w:ascii="Calibri Light" w:hAnsi="Calibri Light" w:eastAsia="Calibri Light" w:cs="Calibri Light"/>
          <w:noProof w:val="0"/>
          <w:sz w:val="20"/>
          <w:szCs w:val="20"/>
          <w:lang w:val="nl-BE"/>
        </w:rPr>
        <w:t xml:space="preserve">vanuit het oogpunt van de regelgeving (onder meer op het vlak van het btw-tarief voor renovatie). Op veel andere vlakken blijkt dat de huidige regelgeving niet voorziet in een gelijke behandeling van het coöperatieve model. Integendeel, de huidige regels tonen aan dat de wetgever vooral voordelen voorziet voor de rechtstreekse verwerving van een woning door de bewoner-particulier dan wel door investeerders. </w:t>
      </w:r>
      <w:r w:rsidRPr="3AB67E5A" w:rsidR="30F19778">
        <w:rPr>
          <w:rFonts w:ascii="Calibri Light" w:hAnsi="Calibri Light" w:eastAsia="Calibri Light" w:cs="Calibri Light"/>
          <w:noProof w:val="0"/>
          <w:sz w:val="20"/>
          <w:szCs w:val="20"/>
          <w:lang w:val="nl-BE"/>
        </w:rPr>
        <w:t>Coöperanten</w:t>
      </w:r>
      <w:r w:rsidRPr="3AB67E5A" w:rsidR="553244AC">
        <w:rPr>
          <w:rFonts w:ascii="Calibri Light" w:hAnsi="Calibri Light" w:eastAsia="Calibri Light" w:cs="Calibri Light"/>
          <w:noProof w:val="0"/>
          <w:sz w:val="20"/>
          <w:szCs w:val="20"/>
          <w:lang w:val="nl-BE"/>
        </w:rPr>
        <w:t xml:space="preserve"> </w:t>
      </w:r>
      <w:r w:rsidRPr="3AB67E5A" w:rsidR="553244AC">
        <w:rPr>
          <w:rFonts w:ascii="Calibri Light" w:hAnsi="Calibri Light" w:eastAsia="Calibri Light" w:cs="Calibri Light"/>
          <w:noProof w:val="0"/>
          <w:sz w:val="20"/>
          <w:szCs w:val="20"/>
          <w:lang w:val="nl-BE"/>
        </w:rPr>
        <w:t>word</w:t>
      </w:r>
      <w:r w:rsidRPr="3AB67E5A" w:rsidR="30F19778">
        <w:rPr>
          <w:rFonts w:ascii="Calibri Light" w:hAnsi="Calibri Light" w:eastAsia="Calibri Light" w:cs="Calibri Light"/>
          <w:noProof w:val="0"/>
          <w:sz w:val="20"/>
          <w:szCs w:val="20"/>
          <w:lang w:val="nl-BE"/>
        </w:rPr>
        <w:t>en zo potentieel ontmoedigd om in het model te stappen door het verlies van een aantal voordelen die wel gelden onder het klassieke woonmodel. Om het coöperatief wonen als volwaardig alternatief te verankeren, is het daarom noodzakelijk dat de verschillende beleidsniveaus in België – federaal, Vlaams en lokaal – hun regelgeving hierop afstemmen en voorzien in duidelijke en toegankelijke kaders. In wat volgt, formuleren we daarom afzonderlijke beleidsaanbevelingen voor elk van deze niveaus.</w:t>
      </w:r>
    </w:p>
    <w:p w:rsidR="3AB67E5A" w:rsidP="3AB67E5A" w:rsidRDefault="3AB67E5A" w14:paraId="1E566BE6" w14:textId="0289ECA0">
      <w:pPr>
        <w:spacing w:before="0" w:beforeAutospacing="off" w:after="0" w:afterAutospacing="off"/>
        <w:jc w:val="both"/>
        <w:rPr>
          <w:rFonts w:ascii="Calibri Light" w:hAnsi="Calibri Light" w:eastAsia="Calibri Light" w:cs="Calibri Light"/>
          <w:noProof w:val="0"/>
          <w:sz w:val="20"/>
          <w:szCs w:val="20"/>
          <w:lang w:val="nl-BE"/>
        </w:rPr>
      </w:pPr>
    </w:p>
    <w:p xmlns:wp14="http://schemas.microsoft.com/office/word/2010/wordml" w:rsidP="19FB4715" w14:paraId="5817B216" wp14:textId="54A46937">
      <w:pPr>
        <w:pStyle w:val="Heading3"/>
        <w:numPr>
          <w:ilvl w:val="2"/>
          <w:numId w:val="1"/>
        </w:numPr>
        <w:spacing w:before="0" w:beforeAutospacing="off" w:after="0" w:afterAutospacing="off"/>
        <w:ind w:left="720" w:right="0" w:hanging="720"/>
        <w:jc w:val="both"/>
        <w:rPr>
          <w:rFonts w:ascii="Calibri Light" w:hAnsi="Calibri Light" w:eastAsia="Calibri Light" w:cs="Calibri Light"/>
          <w:noProof w:val="0"/>
          <w:sz w:val="24"/>
          <w:szCs w:val="24"/>
          <w:lang w:val="nl-BE"/>
        </w:rPr>
      </w:pPr>
      <w:r w:rsidRPr="19FB4715" w:rsidR="30F19778">
        <w:rPr>
          <w:rFonts w:ascii="Calibri Light" w:hAnsi="Calibri Light" w:eastAsia="Calibri Light" w:cs="Calibri Light"/>
          <w:noProof w:val="0"/>
          <w:sz w:val="24"/>
          <w:szCs w:val="24"/>
          <w:lang w:val="nl-BE"/>
        </w:rPr>
        <w:t xml:space="preserve">Vlaamse overheid </w:t>
      </w:r>
    </w:p>
    <w:p xmlns:wp14="http://schemas.microsoft.com/office/word/2010/wordml" w:rsidP="19FB4715" w14:paraId="6FB9D8FE" wp14:textId="0F2CCD4F">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58B0448F" wp14:textId="120C33FE">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We beginnen met het niveau van de Vlaamse overheid, aangezien woonbeleid een gewestbevoegdheid is in België.</w:t>
      </w:r>
    </w:p>
    <w:p xmlns:wp14="http://schemas.microsoft.com/office/word/2010/wordml" w:rsidP="19FB4715" w14:paraId="6730C74B" wp14:textId="12DD9B56">
      <w:pPr>
        <w:pStyle w:val="Heading4"/>
        <w:spacing w:before="240" w:beforeAutospacing="off" w:after="60" w:afterAutospacing="off"/>
        <w:ind w:left="864" w:right="0" w:hanging="864"/>
        <w:jc w:val="both"/>
      </w:pPr>
      <w:r w:rsidRPr="19FB4715" w:rsidR="30F19778">
        <w:rPr>
          <w:rFonts w:ascii="Calibri Light" w:hAnsi="Calibri Light" w:eastAsia="Calibri Light" w:cs="Calibri Light"/>
          <w:b w:val="1"/>
          <w:bCs w:val="1"/>
          <w:noProof w:val="0"/>
          <w:sz w:val="22"/>
          <w:szCs w:val="22"/>
          <w:lang w:val="nl-BE"/>
        </w:rPr>
        <w:t>Naar een erkenning van wooncoöperaties als volwaardige actor in het woonbeleid</w:t>
      </w:r>
    </w:p>
    <w:p xmlns:wp14="http://schemas.microsoft.com/office/word/2010/wordml" w:rsidP="19FB4715" w14:paraId="1C82C3A7" wp14:textId="68CF70BA">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6A697344" wp14:textId="453CD24D">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Om een gelijk speelveld voor wooncoöperaties te garanderen, is een belangrijk startpunt de formele erkenning van wooncoöperaties door de Vlaamse overheid als </w:t>
      </w:r>
      <w:r w:rsidRPr="19FB4715" w:rsidR="30F19778">
        <w:rPr>
          <w:rFonts w:ascii="Calibri Light" w:hAnsi="Calibri Light" w:eastAsia="Calibri Light" w:cs="Calibri Light"/>
          <w:b w:val="1"/>
          <w:bCs w:val="1"/>
          <w:noProof w:val="0"/>
          <w:sz w:val="20"/>
          <w:szCs w:val="20"/>
          <w:lang w:val="nl-BE"/>
        </w:rPr>
        <w:t>volwaardige actor binnen het woonbeleid</w:t>
      </w:r>
      <w:r w:rsidRPr="19FB4715" w:rsidR="30F19778">
        <w:rPr>
          <w:rFonts w:ascii="Calibri Light" w:hAnsi="Calibri Light" w:eastAsia="Calibri Light" w:cs="Calibri Light"/>
          <w:noProof w:val="0"/>
          <w:sz w:val="20"/>
          <w:szCs w:val="20"/>
          <w:lang w:val="nl-BE"/>
        </w:rPr>
        <w:t>. Wooncoöperaties kunnen weliswaar functioneren binnen het bestaande vennootschapsrecht, maar zij beschikken niet over een specifiek beleidskader dat hun maatschappelijke rol bevestigt of toegang biedt tot ondersteunende instrumenten. Een criteria-gedreven erkenning, gebaseerd op het bestaande instrumentarium van het Belgische vennootschapsrecht, kan deze leemte opvullen zonder een nieuwe rechtsvorm te creëren. Deze erkenning zou kunnen worden vastgelegd in de Vlaamse Codex Wonen, met duidelijke kernvoorwaarden inzake woonkwaliteit, betaalbaarheid, duurzaamheid en langetermijnbeheer.</w:t>
      </w:r>
    </w:p>
    <w:p xmlns:wp14="http://schemas.microsoft.com/office/word/2010/wordml" w:rsidP="19FB4715" w14:paraId="2252EE0A" wp14:textId="55D03F3D">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43DB666A" wp14:textId="699B752C">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Een dergelijke erkenning fungeert als </w:t>
      </w:r>
      <w:r w:rsidRPr="19FB4715" w:rsidR="30F19778">
        <w:rPr>
          <w:rFonts w:ascii="Calibri Light" w:hAnsi="Calibri Light" w:eastAsia="Calibri Light" w:cs="Calibri Light"/>
          <w:b w:val="1"/>
          <w:bCs w:val="1"/>
          <w:noProof w:val="0"/>
          <w:sz w:val="20"/>
          <w:szCs w:val="20"/>
          <w:lang w:val="nl-BE"/>
        </w:rPr>
        <w:t>toegangspoort</w:t>
      </w:r>
      <w:r w:rsidRPr="19FB4715" w:rsidR="30F19778">
        <w:rPr>
          <w:rFonts w:ascii="Calibri Light" w:hAnsi="Calibri Light" w:eastAsia="Calibri Light" w:cs="Calibri Light"/>
          <w:noProof w:val="0"/>
          <w:sz w:val="20"/>
          <w:szCs w:val="20"/>
          <w:lang w:val="nl-BE"/>
        </w:rPr>
        <w:t xml:space="preserve"> tot financiële en fiscale maatregelen. Ze biedt bovendien een uniform referentiekader voor lokale besturen, banken en andere maatschappelijke stakeholders, waardoor de beoordeling en ondersteuning van coöperatieve woonprojecten transparanter worden. Het is ook aanbevolen dat een dergelijke erkenning interfederaal wordt afgestemd, zodat zij ook wordt meegenomen in de fiscale regelgeving en sociaaljuridische regelgeving. </w:t>
      </w:r>
    </w:p>
    <w:p xmlns:wp14="http://schemas.microsoft.com/office/word/2010/wordml" w:rsidP="19FB4715" w14:paraId="660E8716" wp14:textId="7CBA505E">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0BB8EB27" wp14:textId="4FA6C220">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In het kader van deze erkenning, is het ook aanbevolen dat Vlaanderen ook expliciet bevestigt dat coöperant-bewoners (die juridisch huren van de wooncoöperatie) in aanmerking kunnen komen voor de bestaande </w:t>
      </w:r>
      <w:r w:rsidRPr="19FB4715" w:rsidR="30F19778">
        <w:rPr>
          <w:rFonts w:ascii="Calibri Light" w:hAnsi="Calibri Light" w:eastAsia="Calibri Light" w:cs="Calibri Light"/>
          <w:b w:val="1"/>
          <w:bCs w:val="1"/>
          <w:noProof w:val="0"/>
          <w:sz w:val="20"/>
          <w:szCs w:val="20"/>
          <w:lang w:val="nl-BE"/>
        </w:rPr>
        <w:t>huurondersteuning</w:t>
      </w:r>
      <w:r w:rsidRPr="19FB4715" w:rsidR="30F19778">
        <w:rPr>
          <w:rFonts w:ascii="Calibri Light" w:hAnsi="Calibri Light" w:eastAsia="Calibri Light" w:cs="Calibri Light"/>
          <w:noProof w:val="0"/>
          <w:sz w:val="20"/>
          <w:szCs w:val="20"/>
          <w:lang w:val="nl-BE"/>
        </w:rPr>
        <w:t xml:space="preserve"> – met name de Vlaamse huurpremie en de Vlaamse huursubsidie – voor zover zij aan de reguliere voorwaarden voldoen. </w:t>
      </w:r>
    </w:p>
    <w:p xmlns:wp14="http://schemas.microsoft.com/office/word/2010/wordml" w:rsidP="19FB4715" w14:paraId="11DBEEB1" wp14:textId="61A9B131">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35623A50" wp14:textId="4A68F78A">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Een complementaire stap bestaat erin wooncoöperaties aan te moedigen zich te </w:t>
      </w:r>
      <w:r w:rsidRPr="19FB4715" w:rsidR="30F19778">
        <w:rPr>
          <w:rFonts w:ascii="Calibri Light" w:hAnsi="Calibri Light" w:eastAsia="Calibri Light" w:cs="Calibri Light"/>
          <w:b w:val="1"/>
          <w:bCs w:val="1"/>
          <w:noProof w:val="0"/>
          <w:sz w:val="20"/>
          <w:szCs w:val="20"/>
          <w:lang w:val="nl-BE"/>
        </w:rPr>
        <w:t>verenigen</w:t>
      </w:r>
      <w:r w:rsidRPr="19FB4715" w:rsidR="30F19778">
        <w:rPr>
          <w:rFonts w:ascii="Calibri Light" w:hAnsi="Calibri Light" w:eastAsia="Calibri Light" w:cs="Calibri Light"/>
          <w:noProof w:val="0"/>
          <w:sz w:val="20"/>
          <w:szCs w:val="20"/>
          <w:lang w:val="nl-BE"/>
        </w:rPr>
        <w:t xml:space="preserve"> in een koepelstructuur, die kan fungeren als gesprekspartner van de Vlaamse overheid en als referentiepunt voor kennisdeling en sectorontwikkeling. Op die manier kunnen wooncoöperaties zich ontwikkelen tot een derde bouwstroom naast het publieke en het private woonaanbod, structureel ingebed in het Vlaamse woonbeleid.</w:t>
      </w:r>
    </w:p>
    <w:p xmlns:wp14="http://schemas.microsoft.com/office/word/2010/wordml" w:rsidP="19FB4715" w14:paraId="16B34F33" wp14:textId="592DF7C7">
      <w:pPr>
        <w:pStyle w:val="Heading4"/>
        <w:spacing w:before="240" w:beforeAutospacing="off" w:after="60" w:afterAutospacing="off"/>
        <w:ind w:left="864" w:right="0" w:hanging="864"/>
        <w:jc w:val="both"/>
      </w:pPr>
      <w:r w:rsidRPr="19FB4715" w:rsidR="30F19778">
        <w:rPr>
          <w:rFonts w:ascii="Calibri Light" w:hAnsi="Calibri Light" w:eastAsia="Calibri Light" w:cs="Calibri Light"/>
          <w:b w:val="1"/>
          <w:bCs w:val="1"/>
          <w:noProof w:val="0"/>
          <w:sz w:val="22"/>
          <w:szCs w:val="22"/>
          <w:lang w:val="nl-BE"/>
        </w:rPr>
        <w:t>Een gelijke fiscale behandeling van wooncoöperaties</w:t>
      </w:r>
    </w:p>
    <w:p xmlns:wp14="http://schemas.microsoft.com/office/word/2010/wordml" w:rsidP="19FB4715" w14:paraId="2E496AA3" wp14:textId="76D7AA38">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361A78CE" wp14:textId="0E413D99">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Het is aanbevolen dat de Vlaamse overheid de fiscale behandeling van wooncoöperaties beter afstemt op die van particuliere eigenaars, met het oog op een neutrale en rechtvaardige fiscaliteit. In het bijzonder zou het aangewezen zijn om wooncoöperaties eenzelfde toegang te geven tot het verlaagde tarieven voor de </w:t>
      </w:r>
      <w:r w:rsidRPr="19FB4715" w:rsidR="30F19778">
        <w:rPr>
          <w:rFonts w:ascii="Calibri Light" w:hAnsi="Calibri Light" w:eastAsia="Calibri Light" w:cs="Calibri Light"/>
          <w:b w:val="1"/>
          <w:bCs w:val="1"/>
          <w:noProof w:val="0"/>
          <w:sz w:val="20"/>
          <w:szCs w:val="20"/>
          <w:lang w:val="nl-BE"/>
        </w:rPr>
        <w:t>registratierechten</w:t>
      </w:r>
      <w:r w:rsidRPr="19FB4715" w:rsidR="30F19778">
        <w:rPr>
          <w:rFonts w:ascii="Calibri Light" w:hAnsi="Calibri Light" w:eastAsia="Calibri Light" w:cs="Calibri Light"/>
          <w:noProof w:val="0"/>
          <w:sz w:val="20"/>
          <w:szCs w:val="20"/>
          <w:lang w:val="nl-BE"/>
        </w:rPr>
        <w:t xml:space="preserve"> bij de verwerving van gronden via een rechtstreekse aankoop, of via erfpacht of opstalrechten, aangezien de betaalbare verwerving van activa cruciaal is voor het realiseren van coöperatieve woonprojecten. Dit kan gekoppeld worden aan het nastreven van maatschappelijke doelstellingen zoals betaalbaarheid, duurzaamheid en inclusie – in lijn met een bovenvermelde erkenning voor wooncoöperaties.</w:t>
      </w:r>
    </w:p>
    <w:p xmlns:wp14="http://schemas.microsoft.com/office/word/2010/wordml" w:rsidP="19FB4715" w14:paraId="1FAA347E" wp14:textId="047268A7">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2D496CED" wp14:textId="163BE79E">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Daarnaast is het aanbevolen dat de </w:t>
      </w:r>
      <w:r w:rsidRPr="19FB4715" w:rsidR="30F19778">
        <w:rPr>
          <w:rFonts w:ascii="Calibri Light" w:hAnsi="Calibri Light" w:eastAsia="Calibri Light" w:cs="Calibri Light"/>
          <w:b w:val="1"/>
          <w:bCs w:val="1"/>
          <w:noProof w:val="0"/>
          <w:sz w:val="20"/>
          <w:szCs w:val="20"/>
          <w:lang w:val="nl-BE"/>
        </w:rPr>
        <w:t>onroerende voorheffing</w:t>
      </w:r>
      <w:r w:rsidRPr="19FB4715" w:rsidR="30F19778">
        <w:rPr>
          <w:rFonts w:ascii="Calibri Light" w:hAnsi="Calibri Light" w:eastAsia="Calibri Light" w:cs="Calibri Light"/>
          <w:noProof w:val="0"/>
          <w:sz w:val="20"/>
          <w:szCs w:val="20"/>
          <w:lang w:val="nl-BE"/>
        </w:rPr>
        <w:t xml:space="preserve"> en </w:t>
      </w:r>
      <w:r w:rsidRPr="19FB4715" w:rsidR="30F19778">
        <w:rPr>
          <w:rFonts w:ascii="Calibri Light" w:hAnsi="Calibri Light" w:eastAsia="Calibri Light" w:cs="Calibri Light"/>
          <w:b w:val="1"/>
          <w:bCs w:val="1"/>
          <w:noProof w:val="0"/>
          <w:sz w:val="20"/>
          <w:szCs w:val="20"/>
          <w:lang w:val="nl-BE"/>
        </w:rPr>
        <w:t>successierechten</w:t>
      </w:r>
      <w:r w:rsidRPr="19FB4715" w:rsidR="30F19778">
        <w:rPr>
          <w:rFonts w:ascii="Calibri Light" w:hAnsi="Calibri Light" w:eastAsia="Calibri Light" w:cs="Calibri Light"/>
          <w:noProof w:val="0"/>
          <w:sz w:val="20"/>
          <w:szCs w:val="20"/>
          <w:lang w:val="nl-BE"/>
        </w:rPr>
        <w:t xml:space="preserve"> worden geëvalueerd met het oog op minstens een fiscaal neutrale behandeling tussen het klassieke en het coöperatieve woonmodel. In dat kader kan worden onderzocht of de aandelen van een wooncoöperatie voor de toepassing van de erf- en schenkbelasting kunnen worden gelijkgesteld met onroerende goederen. Een dergelijke coherente benadering zou bijdragen tot rechtszekerheid, een gelijk speelveld en een aantrekkelijker kader voor coöperatief wonen in Vlaanderen.</w:t>
      </w:r>
    </w:p>
    <w:p xmlns:wp14="http://schemas.microsoft.com/office/word/2010/wordml" w:rsidP="19FB4715" w14:paraId="6566A42F" wp14:textId="29B86729">
      <w:pPr>
        <w:pStyle w:val="Heading4"/>
        <w:spacing w:before="240" w:beforeAutospacing="off" w:after="60" w:afterAutospacing="off"/>
        <w:ind w:left="864" w:right="0" w:hanging="864"/>
        <w:jc w:val="both"/>
      </w:pPr>
      <w:r w:rsidRPr="19FB4715" w:rsidR="30F19778">
        <w:rPr>
          <w:rFonts w:ascii="Calibri Light" w:hAnsi="Calibri Light" w:eastAsia="Calibri Light" w:cs="Calibri Light"/>
          <w:b w:val="1"/>
          <w:bCs w:val="1"/>
          <w:noProof w:val="0"/>
          <w:sz w:val="22"/>
          <w:szCs w:val="22"/>
          <w:lang w:val="nl-BE"/>
        </w:rPr>
        <w:t>Waarborgen en leningen</w:t>
      </w:r>
    </w:p>
    <w:p xmlns:wp14="http://schemas.microsoft.com/office/word/2010/wordml" w:rsidP="19FB4715" w14:paraId="4C14197C" wp14:textId="2A3BF379">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77A49836" wp14:textId="1DB9BFD1">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Om de markt voor het financieren van wooncoöperaties op gang te trekken, kan de Vlaamse overheid een </w:t>
      </w:r>
      <w:r w:rsidRPr="19FB4715" w:rsidR="30F19778">
        <w:rPr>
          <w:rFonts w:ascii="Calibri Light" w:hAnsi="Calibri Light" w:eastAsia="Calibri Light" w:cs="Calibri Light"/>
          <w:b w:val="1"/>
          <w:bCs w:val="1"/>
          <w:noProof w:val="0"/>
          <w:sz w:val="20"/>
          <w:szCs w:val="20"/>
          <w:lang w:val="nl-BE"/>
        </w:rPr>
        <w:t>waarborgregeling</w:t>
      </w:r>
      <w:r w:rsidRPr="19FB4715" w:rsidR="30F19778">
        <w:rPr>
          <w:rFonts w:ascii="Calibri Light" w:hAnsi="Calibri Light" w:eastAsia="Calibri Light" w:cs="Calibri Light"/>
          <w:noProof w:val="0"/>
          <w:sz w:val="20"/>
          <w:szCs w:val="20"/>
          <w:lang w:val="nl-BE"/>
        </w:rPr>
        <w:t xml:space="preserve"> ontwikkelen. Buitenlandse voorbeelden, zoals het systeem in Genève waarbij het kanton garant staat voor een 75% van de vereiste eigen inbreng van 20%, tonen aan dat dergelijke mechanismen de toegang tot betaalbare financiering aanzienlijk kunnen verbeteren. De toepassing van een gelijkaardig model in Vlaanderen kan worden gekoppeld aan voorwaarden inzake transparant financieel beheer, bijvoorbeeld door het opleggen van een gestandaardiseerd financieel plan bij het aanvragen van de waarborg. Ook hier is een coherente koppeling aan een breder toepasbaar erkenningskader voor wooncoöperaties aangewezen.</w:t>
      </w:r>
    </w:p>
    <w:p xmlns:wp14="http://schemas.microsoft.com/office/word/2010/wordml" w:rsidP="19FB4715" w14:paraId="7FD51ED0" wp14:textId="62F9D7B6">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5176E630" wp14:textId="6F591434">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Daarnaast kan de Vlaamse overheid ook voorzien in </w:t>
      </w:r>
      <w:r w:rsidRPr="19FB4715" w:rsidR="30F19778">
        <w:rPr>
          <w:rFonts w:ascii="Calibri Light" w:hAnsi="Calibri Light" w:eastAsia="Calibri Light" w:cs="Calibri Light"/>
          <w:b w:val="1"/>
          <w:bCs w:val="1"/>
          <w:noProof w:val="0"/>
          <w:sz w:val="20"/>
          <w:szCs w:val="20"/>
          <w:lang w:val="nl-BE"/>
        </w:rPr>
        <w:t xml:space="preserve">voordelige overheidsleningen </w:t>
      </w:r>
      <w:r w:rsidRPr="19FB4715" w:rsidR="30F19778">
        <w:rPr>
          <w:rFonts w:ascii="Calibri Light" w:hAnsi="Calibri Light" w:eastAsia="Calibri Light" w:cs="Calibri Light"/>
          <w:noProof w:val="0"/>
          <w:sz w:val="20"/>
          <w:szCs w:val="20"/>
          <w:lang w:val="nl-BE"/>
        </w:rPr>
        <w:t>voor coöperatieve woonprojecten. Coöperaties zouden, naar analogie met de systemen in Genève en Zürich, kunnen genieten van overbruggingskredieten of renteloze overheidsleningen voor de aankoop, renovatie of herontwikkeling van gebouwen. Dergelijke leningen kunnen worden vormgegeven als bullet-leningen met een langere looptijd, zodat de financieringslast wordt uitgespreid over de periode waarin stabiele huurinkomsten worden gerealiseerd. Bij de beoordeling van de terugbetalingscapaciteit kan worden uitgegaan van een “total cost of ownership” (TCO) benadering, waarbij ook onderhouds-, aanpassings- en energieprestaties worden meegewogen. Dit versterkt niet alleen de financiële duurzaamheid van coöperatieve projecten, maar ook hun bijdrage aan de klimaatdoelstellingen.</w:t>
      </w:r>
    </w:p>
    <w:p xmlns:wp14="http://schemas.microsoft.com/office/word/2010/wordml" w:rsidP="19FB4715" w14:paraId="569C3988" wp14:textId="4743FCEE">
      <w:pPr>
        <w:pStyle w:val="Heading4"/>
        <w:spacing w:before="240" w:beforeAutospacing="off" w:after="60" w:afterAutospacing="off"/>
        <w:ind w:left="864" w:right="0" w:hanging="864"/>
        <w:jc w:val="both"/>
      </w:pPr>
      <w:r w:rsidRPr="19FB4715" w:rsidR="30F19778">
        <w:rPr>
          <w:rFonts w:ascii="Calibri Light" w:hAnsi="Calibri Light" w:eastAsia="Calibri Light" w:cs="Calibri Light"/>
          <w:b w:val="1"/>
          <w:bCs w:val="1"/>
          <w:noProof w:val="0"/>
          <w:sz w:val="22"/>
          <w:szCs w:val="22"/>
          <w:lang w:val="nl-BE"/>
        </w:rPr>
        <w:t>Inzet van gronden</w:t>
      </w:r>
    </w:p>
    <w:p xmlns:wp14="http://schemas.microsoft.com/office/word/2010/wordml" w:rsidP="19FB4715" w14:paraId="3BCC0F8C" wp14:textId="229A6D08">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68C0B27D" wp14:textId="0845C8DF">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De Vlaamse overheid kan wooncoöperaties die willen inzetten op betaalbaar wonen ook ondersteunen met een actiever en strategischer grondenbeleid. Een eerste stap bestaat erin provinciale en lokale besturen te ondersteunen bij het in kaart brengen van hun publieke grondpositie, zodat beleidsmakers over een actueel en volledig overzicht beschikken. Op basis daarvan kan Vlaanderen gemeenten begeleiden bij het opzetten van een strategisch grondbeleid, door hen te informeren over bestaande instrumenten en door waar nodig nieuwe instrumenten te ontwikkelen die het gebruik van publieke gronden voor maatschappelijke woonprojecten vergemakkelijken.</w:t>
      </w:r>
    </w:p>
    <w:p xmlns:wp14="http://schemas.microsoft.com/office/word/2010/wordml" w:rsidP="19FB4715" w14:paraId="1D2D884D" wp14:textId="65B886ED">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2048C6BF" wp14:textId="6B856332">
      <w:pPr>
        <w:spacing w:before="0" w:beforeAutospacing="off" w:after="0" w:afterAutospacing="off"/>
        <w:jc w:val="both"/>
      </w:pPr>
      <w:r w:rsidRPr="43ED92F5" w:rsidR="3F5F0853">
        <w:rPr>
          <w:rFonts w:ascii="Calibri Light" w:hAnsi="Calibri Light" w:eastAsia="Calibri Light" w:cs="Calibri Light"/>
          <w:noProof w:val="0"/>
          <w:sz w:val="20"/>
          <w:szCs w:val="20"/>
          <w:lang w:val="nl-BE"/>
        </w:rPr>
        <w:t xml:space="preserve">Daarnaast is het aanbevolen om een Vlaams rollend fonds op te richten waarmee </w:t>
      </w:r>
      <w:r w:rsidRPr="43ED92F5" w:rsidR="3F5F0853">
        <w:rPr>
          <w:rFonts w:ascii="Calibri Light" w:hAnsi="Calibri Light" w:eastAsia="Calibri Light" w:cs="Calibri Light"/>
          <w:noProof w:val="0"/>
          <w:sz w:val="20"/>
          <w:szCs w:val="20"/>
          <w:lang w:val="nl-BE"/>
        </w:rPr>
        <w:t>gemeenten gronden</w:t>
      </w:r>
      <w:r w:rsidRPr="43ED92F5" w:rsidR="3F5F0853">
        <w:rPr>
          <w:rFonts w:ascii="Calibri Light" w:hAnsi="Calibri Light" w:eastAsia="Calibri Light" w:cs="Calibri Light"/>
          <w:noProof w:val="0"/>
          <w:sz w:val="20"/>
          <w:szCs w:val="20"/>
          <w:lang w:val="nl-BE"/>
        </w:rPr>
        <w:t xml:space="preserve"> kunnen verwerven en vervolgens in erfpacht kunnen uitgeven aan wooncoöperaties. Dergelijke constructies verlagen de initiële kapitaalkost en laten toe om maatschappelijke doelstellingen, zoals betaalbaarheid en duurzaamheid, contractueel te verankeren. Vlaanderen kan verder de inzet van bestaande instrumenten zoals het voorkooprecht en de publieke aankoop aan verlaagd tarief stimuleren om de publieke grondpositie te versterken en een deel daarvan specifiek te reserveren voor sociale en coöperatieve woonmodellen, naar het voorbeeld van steden als Genève en Wenen. Een dergelijk proactief grondbeleid creëert structurele randvoorwaarden voor de groei van de coöperatieve woonsector en versterkt het publieke belang in de ruimtelijke ontwikkeling.</w:t>
      </w:r>
    </w:p>
    <w:p w:rsidR="43ED92F5" w:rsidP="43ED92F5" w:rsidRDefault="43ED92F5" w14:paraId="4B43936B" w14:textId="2B5FEBCD">
      <w:pPr>
        <w:spacing w:before="0" w:beforeAutospacing="off" w:after="0" w:afterAutospacing="off"/>
        <w:jc w:val="both"/>
        <w:rPr>
          <w:rFonts w:ascii="Calibri Light" w:hAnsi="Calibri Light" w:eastAsia="Calibri Light" w:cs="Calibri Light"/>
          <w:noProof w:val="0"/>
          <w:sz w:val="20"/>
          <w:szCs w:val="20"/>
          <w:lang w:val="nl-BE"/>
        </w:rPr>
      </w:pPr>
    </w:p>
    <w:p w:rsidR="43ED92F5" w:rsidP="43ED92F5" w:rsidRDefault="43ED92F5" w14:paraId="41511D0A" w14:textId="09A93AB1">
      <w:pPr>
        <w:spacing w:before="0" w:beforeAutospacing="off" w:after="0" w:afterAutospacing="off"/>
        <w:jc w:val="both"/>
        <w:rPr>
          <w:rFonts w:ascii="Calibri Light" w:hAnsi="Calibri Light" w:eastAsia="Calibri Light" w:cs="Calibri Light"/>
          <w:noProof w:val="0"/>
          <w:sz w:val="20"/>
          <w:szCs w:val="20"/>
          <w:lang w:val="nl-BE"/>
        </w:rPr>
      </w:pPr>
    </w:p>
    <w:p xmlns:wp14="http://schemas.microsoft.com/office/word/2010/wordml" w:rsidP="19FB4715" w14:paraId="7D34B35F" wp14:textId="2D547CD0">
      <w:pPr>
        <w:pStyle w:val="Heading3"/>
        <w:numPr>
          <w:ilvl w:val="2"/>
          <w:numId w:val="1"/>
        </w:numPr>
        <w:spacing w:before="0" w:beforeAutospacing="off" w:after="0" w:afterAutospacing="off"/>
        <w:ind w:left="720" w:right="0" w:hanging="720"/>
        <w:jc w:val="both"/>
        <w:rPr>
          <w:rFonts w:ascii="Calibri Light" w:hAnsi="Calibri Light" w:eastAsia="Calibri Light" w:cs="Calibri Light"/>
          <w:noProof w:val="0"/>
          <w:sz w:val="24"/>
          <w:szCs w:val="24"/>
          <w:lang w:val="nl-BE"/>
        </w:rPr>
      </w:pPr>
      <w:r w:rsidRPr="19FB4715" w:rsidR="30F19778">
        <w:rPr>
          <w:rFonts w:ascii="Calibri Light" w:hAnsi="Calibri Light" w:eastAsia="Calibri Light" w:cs="Calibri Light"/>
          <w:noProof w:val="0"/>
          <w:sz w:val="24"/>
          <w:szCs w:val="24"/>
          <w:lang w:val="nl-BE"/>
        </w:rPr>
        <w:t xml:space="preserve">Federale overheid </w:t>
      </w:r>
    </w:p>
    <w:p xmlns:wp14="http://schemas.microsoft.com/office/word/2010/wordml" w:rsidP="19FB4715" w14:paraId="0D10CF44" wp14:textId="39CC624F">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0FCA8A9E" wp14:textId="2B6AE49E">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Ook de federale overheid beschikt over enkele hefbomen om het speelveld voor wooncoöperaties gelijk te trekken en te zorgen voor een coherente afstemming tussen gewestelijke en federale regelgeving. </w:t>
      </w:r>
    </w:p>
    <w:p xmlns:wp14="http://schemas.microsoft.com/office/word/2010/wordml" w:rsidP="19FB4715" w14:paraId="20668D11" wp14:textId="40441449">
      <w:pPr>
        <w:pStyle w:val="Heading4"/>
        <w:spacing w:before="240" w:beforeAutospacing="off" w:after="60" w:afterAutospacing="off"/>
        <w:ind w:left="864" w:right="0" w:hanging="864"/>
        <w:jc w:val="both"/>
      </w:pPr>
      <w:r w:rsidRPr="19FB4715" w:rsidR="30F19778">
        <w:rPr>
          <w:rFonts w:ascii="Calibri Light" w:hAnsi="Calibri Light" w:eastAsia="Calibri Light" w:cs="Calibri Light"/>
          <w:b w:val="1"/>
          <w:bCs w:val="1"/>
          <w:noProof w:val="0"/>
          <w:sz w:val="22"/>
          <w:szCs w:val="22"/>
          <w:lang w:val="nl-BE"/>
        </w:rPr>
        <w:t>Fiscale gelijkschakeling tussen coöperant-bewoners en eigenaars van woningen</w:t>
      </w:r>
    </w:p>
    <w:p xmlns:wp14="http://schemas.microsoft.com/office/word/2010/wordml" w:rsidP="19FB4715" w14:paraId="6176838C" wp14:textId="1A279EBC">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5C421739" wp14:textId="0CD6EA7B">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Het is aanbevolen dat de federale overheid de fiscale behandeling van coöperant-bewoners beter afstemt op die van particuliere eigenaars. Daarbij kan rekening gehouden worden met hun graad van aandeelhouderschap in hoofde van de coöperant-bewoner. Bewoners die via aandelen in een wooncoöperatie toegang krijgen tot een woning bevinden zich economisch in een gelijkaardige positie als eigenaars, maar genieten vandaag niet dezelfde rechtszekerheid. Zo heerst er bijvoorbeeld onduidelijkheid over de fiscale behandeling van eventuele huurkortingen die worden toegekend aan de bewoners/coöperanten. Indien men coöperatief wonen wenst te faciliteren, verdient het aanbeveling om in de eerste plaats een sluitende en duidelijke regeling te voorzien.</w:t>
      </w:r>
    </w:p>
    <w:p xmlns:wp14="http://schemas.microsoft.com/office/word/2010/wordml" w:rsidP="19FB4715" w14:paraId="08173FB5" wp14:textId="4727B563">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42409D9D" wp14:textId="07F3E70A">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Verder is het aanbevolen dat de federale overheid de meerwaarderegels herziet om fiscale neutraliteit tussen woonmodellen te waarborgen. Bij de overdracht van aandelen in een wooncoöperatie zou een bewoner niet zwaarder belast mogen worden dan een eigenaar die zijn woning verkoopt. Ook bijkomende verduidelijking over de toepassing van verlaagde btw-tarieven voor elektriciteit, gas en warmte binnen wooncoöperaties zou bijdragen tot een transparanter en coherent fiscaal kader.</w:t>
      </w:r>
    </w:p>
    <w:p xmlns:wp14="http://schemas.microsoft.com/office/word/2010/wordml" w:rsidP="19FB4715" w14:paraId="73B93C52" wp14:textId="1506450B">
      <w:pPr>
        <w:pStyle w:val="Heading4"/>
        <w:spacing w:before="240" w:beforeAutospacing="off" w:after="60" w:afterAutospacing="off"/>
        <w:ind w:left="864" w:right="0" w:hanging="864"/>
        <w:jc w:val="both"/>
      </w:pPr>
      <w:r w:rsidRPr="19FB4715" w:rsidR="30F19778">
        <w:rPr>
          <w:rFonts w:ascii="Calibri Light" w:hAnsi="Calibri Light" w:eastAsia="Calibri Light" w:cs="Calibri Light"/>
          <w:b w:val="1"/>
          <w:bCs w:val="1"/>
          <w:noProof w:val="0"/>
          <w:sz w:val="22"/>
          <w:szCs w:val="22"/>
          <w:lang w:val="nl-BE"/>
        </w:rPr>
        <w:t>Plafonnering wederbeleggingsvergoeding in hoofde van wooncoöperaties</w:t>
      </w:r>
    </w:p>
    <w:p xmlns:wp14="http://schemas.microsoft.com/office/word/2010/wordml" w:rsidP="19FB4715" w14:paraId="4172987F" wp14:textId="08779AF6">
      <w:pPr>
        <w:spacing w:before="0" w:beforeAutospacing="off" w:after="0" w:afterAutospacing="off"/>
        <w:ind w:left="360" w:right="0"/>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472C3D50" wp14:textId="0F43E822">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Bij een daling van rentevoeten kan het aangewezen zijn om afgesloten kredieten te herfinancieren. Hieraan zijn kosten verbonden waaronder een wederbeleggingsvergoeding. Dit is de vergoeding voor het verlies (de "funding loss") dat de kredietgever lijdt door de vervroegde terugbetaling van een krediet. Voor KMO’s en particulieren is wettelijk een plafonnering van de wederbeleggingsvergoeding voorzien; voor particulieren is dit 3 maanden intrest en voor KMO’s 6 maanden (voor bepaalde kredieten). Wooncoöperaties (voor zover deze niet kwalificeren als KMO’s) vallen op dit moment niet onder een specifieke regeling waardoor in de praktijk een herfinanciering (aan voordeligere voorwaarden) quasi onhaalbaar is. </w:t>
      </w:r>
    </w:p>
    <w:p xmlns:wp14="http://schemas.microsoft.com/office/word/2010/wordml" w:rsidP="19FB4715" w14:paraId="6F3659AA" wp14:textId="4D1EEB91">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3709F0B7" wp14:textId="000B3BA3">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De federale overheid heeft dus een belangrijke hefboom om wooncoöperaties te ondersteunen door, in samenwerking met de financiële instellingen, te voorzien dat de wederbeleggingsvergoeding bij vervroegde terugbetaling van leningen voor coöperatieve woonprojecten eveneens wordt geplafonneerd, naar analogie met de regeling die geldt voor particulieren. </w:t>
      </w:r>
    </w:p>
    <w:p xmlns:wp14="http://schemas.microsoft.com/office/word/2010/wordml" w:rsidP="19FB4715" w14:paraId="7F634724" wp14:textId="1F059C03">
      <w:pPr>
        <w:pStyle w:val="Heading4"/>
        <w:spacing w:before="240" w:beforeAutospacing="off" w:after="60" w:afterAutospacing="off"/>
        <w:ind w:left="864" w:right="0" w:hanging="864"/>
        <w:jc w:val="both"/>
      </w:pPr>
      <w:r w:rsidRPr="19FB4715" w:rsidR="30F19778">
        <w:rPr>
          <w:rFonts w:ascii="Calibri Light" w:hAnsi="Calibri Light" w:eastAsia="Calibri Light" w:cs="Calibri Light"/>
          <w:b w:val="1"/>
          <w:bCs w:val="1"/>
          <w:noProof w:val="0"/>
          <w:sz w:val="22"/>
          <w:szCs w:val="22"/>
          <w:lang w:val="nl-BE"/>
        </w:rPr>
        <w:t xml:space="preserve">Stem de erkenning van wooncoöperaties af op interfederaal niveau </w:t>
      </w:r>
    </w:p>
    <w:p xmlns:wp14="http://schemas.microsoft.com/office/word/2010/wordml" w:rsidP="19FB4715" w14:paraId="3DD2DDB7" wp14:textId="39C989D7">
      <w:pPr>
        <w:spacing w:before="0" w:beforeAutospacing="off" w:after="0" w:afterAutospacing="off"/>
        <w:ind w:left="360" w:right="0"/>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1E2DDD0B" wp14:textId="383DFA1A">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Hoewel wooncoöperaties kunnen werken binnen het bestaande vennootschapsrecht en de oprichting van een afzonderlijke rechtsvorm niet noodzakelijk is, is het aanbevolen dat wooncoöperaties formeel worden erkend binnen het woonbeleid. Deze erkenning situeert zich in hoofdzaak op Vlaams niveau, en in de uitvoering vaak ook op lokaal niveau. Om echter te verzekeren dat deze erkenning ook juridisch en fiscaal coherent wordt toegepast in federale regelgeving, is het aanbevolen dat de federale beleidsmakers deze erkenning interfederaal afstemmen. </w:t>
      </w:r>
    </w:p>
    <w:p xmlns:wp14="http://schemas.microsoft.com/office/word/2010/wordml" w:rsidP="19FB4715" w14:paraId="67FEF620" wp14:textId="7032A79F">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20F8071B" wp14:textId="3C3AB567">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Een dergelijke afstemming zou op federaal niveau zorgen voor een duidelijk referentiekader dat kan worden gebruikt binnen de personenbelasting en sociaaljuridische regelgeving, bijvoorbeeld inzake de samenwoonstatuten in het kader van sociale uitkeringen.</w:t>
      </w:r>
    </w:p>
    <w:p xmlns:wp14="http://schemas.microsoft.com/office/word/2010/wordml" w:rsidP="19FB4715" w14:paraId="0159489F" wp14:textId="5671BD6F">
      <w:pPr>
        <w:pStyle w:val="Heading4"/>
        <w:spacing w:before="240" w:beforeAutospacing="off" w:after="60" w:afterAutospacing="off"/>
        <w:ind w:left="862" w:right="0" w:hanging="862"/>
        <w:jc w:val="both"/>
      </w:pPr>
      <w:r w:rsidRPr="19FB4715" w:rsidR="30F19778">
        <w:rPr>
          <w:rFonts w:ascii="Calibri Light" w:hAnsi="Calibri Light" w:eastAsia="Calibri Light" w:cs="Calibri Light"/>
          <w:b w:val="1"/>
          <w:bCs w:val="1"/>
          <w:noProof w:val="0"/>
          <w:sz w:val="22"/>
          <w:szCs w:val="22"/>
          <w:lang w:val="nl-BE"/>
        </w:rPr>
        <w:t>Inzicht in de federale grondpositie</w:t>
      </w:r>
    </w:p>
    <w:p xmlns:wp14="http://schemas.microsoft.com/office/word/2010/wordml" w:rsidP="19FB4715" w14:paraId="60A44980" wp14:textId="67B95159">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0652BD95" wp14:textId="047A65C3">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Het is aanbevolen dat de federale overheid de gewesten en gemeenten beter inzicht verschaft in haar grondpositie binnen hun grondgebied. Een transparant overzicht van de federale gronden kan bijdragen tot een doelgerichter lokaal en regionaal grondbeleid, onder meer voor projecten met een maatschappelijke finaliteit.</w:t>
      </w:r>
    </w:p>
    <w:p xmlns:wp14="http://schemas.microsoft.com/office/word/2010/wordml" w:rsidP="19FB4715" w14:paraId="5390E7ED" wp14:textId="2A823D63">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6765C607" wp14:textId="1B649827">
      <w:pPr>
        <w:spacing w:before="0" w:beforeAutospacing="off" w:after="0" w:afterAutospacing="off"/>
        <w:jc w:val="both"/>
      </w:pPr>
      <w:r w:rsidRPr="43ED92F5" w:rsidR="3F5F0853">
        <w:rPr>
          <w:rFonts w:ascii="Calibri Light" w:hAnsi="Calibri Light" w:eastAsia="Calibri Light" w:cs="Calibri Light"/>
          <w:noProof w:val="0"/>
          <w:sz w:val="20"/>
          <w:szCs w:val="20"/>
          <w:lang w:val="nl-BE"/>
        </w:rPr>
        <w:t xml:space="preserve">Daarnaast kan de federale overheid ook een grondbeleid ontwikkelen dat coöperatieve woonprojecten ondersteunt, bijvoorbeeld door federale gronden via erfpacht ter beschikking te stellen van gemeenten of rechtstreeks aan erkende wooncoöperaties. Dit kan worden gekoppeld aan initiatieven op gewestelijk niveau, zoals de opstart van een rollend fonds waarmee gemeenten publieke gronden kunnen verwerven en vervolgens in erfpacht kunnen geven aan wooncoöperaties. </w:t>
      </w:r>
    </w:p>
    <w:p w:rsidR="43ED92F5" w:rsidP="43ED92F5" w:rsidRDefault="43ED92F5" w14:paraId="5C09FC92" w14:textId="0150FDE1">
      <w:pPr>
        <w:spacing w:before="0" w:beforeAutospacing="off" w:after="0" w:afterAutospacing="off"/>
        <w:jc w:val="both"/>
        <w:rPr>
          <w:rFonts w:ascii="Calibri Light" w:hAnsi="Calibri Light" w:eastAsia="Calibri Light" w:cs="Calibri Light"/>
          <w:noProof w:val="0"/>
          <w:sz w:val="20"/>
          <w:szCs w:val="20"/>
          <w:lang w:val="nl-BE"/>
        </w:rPr>
      </w:pPr>
    </w:p>
    <w:p w:rsidR="43ED92F5" w:rsidP="43ED92F5" w:rsidRDefault="43ED92F5" w14:paraId="6794C6FD" w14:textId="2652A5A9">
      <w:pPr>
        <w:spacing w:before="0" w:beforeAutospacing="off" w:after="0" w:afterAutospacing="off"/>
        <w:jc w:val="both"/>
        <w:rPr>
          <w:rFonts w:ascii="Calibri Light" w:hAnsi="Calibri Light" w:eastAsia="Calibri Light" w:cs="Calibri Light"/>
          <w:noProof w:val="0"/>
          <w:sz w:val="20"/>
          <w:szCs w:val="20"/>
          <w:lang w:val="nl-BE"/>
        </w:rPr>
      </w:pPr>
    </w:p>
    <w:p xmlns:wp14="http://schemas.microsoft.com/office/word/2010/wordml" w:rsidP="19FB4715" w14:paraId="2B5FBAC1" wp14:textId="15A6EA33">
      <w:pPr>
        <w:pStyle w:val="Heading3"/>
        <w:numPr>
          <w:ilvl w:val="2"/>
          <w:numId w:val="1"/>
        </w:numPr>
        <w:spacing w:before="0" w:beforeAutospacing="off" w:after="0" w:afterAutospacing="off"/>
        <w:ind w:left="720" w:right="0" w:hanging="720"/>
        <w:jc w:val="both"/>
        <w:rPr>
          <w:rFonts w:ascii="Calibri Light" w:hAnsi="Calibri Light" w:eastAsia="Calibri Light" w:cs="Calibri Light"/>
          <w:noProof w:val="0"/>
          <w:sz w:val="24"/>
          <w:szCs w:val="24"/>
          <w:lang w:val="nl-BE"/>
        </w:rPr>
      </w:pPr>
      <w:r w:rsidRPr="19FB4715" w:rsidR="30F19778">
        <w:rPr>
          <w:rFonts w:ascii="Calibri Light" w:hAnsi="Calibri Light" w:eastAsia="Calibri Light" w:cs="Calibri Light"/>
          <w:noProof w:val="0"/>
          <w:sz w:val="24"/>
          <w:szCs w:val="24"/>
          <w:lang w:val="nl-BE"/>
        </w:rPr>
        <w:t xml:space="preserve">Lokale besturen </w:t>
      </w:r>
    </w:p>
    <w:p xmlns:wp14="http://schemas.microsoft.com/office/word/2010/wordml" w:rsidP="19FB4715" w14:paraId="3D00C1D3" wp14:textId="01AB8E50">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29380F69" wp14:textId="5DE46947">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Lokale besturen hebben een sleutelrol bij de ontwikkeling van coöperatief wonen (Lang &amp; Stoeger, 2018). In hun memorandum naar aanleiding van de lokale verkiezingen van 2024, identificeerden Wooncoop en Febecoop Vlaanderen-Brussel de drievoudige maatschappelijke return van wooncoöperaties voor steden en gemeenten (Wooncoop &amp; Febecoop Vlaanderen-Brussel, 2024). Ten eerste kunnen ze de financiële slagkracht van hun bewoners bevorderen door kapitaalopbouw en schaalvoordelen. Ten tweede kunnen ze bijdragen tot de efficiëntie van steden en gemeenten door slim ruimtegebruik, woonflexibiliteit en duurzame mobiliteit. Ten derde kunnen ze de sociale cohesie versterken wanneer ze gemeenschapsvorming faciliteren en inclusieve woonomgevingen creëren.</w:t>
      </w:r>
    </w:p>
    <w:p xmlns:wp14="http://schemas.microsoft.com/office/word/2010/wordml" w:rsidP="19FB4715" w14:paraId="26270C12" wp14:textId="176F662A">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7B121648" wp14:textId="08FDF949">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In verschillende steden en gemeenten wereldwijd worden wooncoöperaties actief ondersteund. Vooral in Zwitserland vinden we enkele toonaangevende voorbeelden. Zo kent Zürich een lange traditie in coöperatief wonen, waarbij inmiddels 27% van de stedelijke huurmarkt uit wooncoöperaties bestaat. De stad stimuleert verdere groei via gunstige grondpolitiek en kwaliteitseisen op het vlak van duurzaamheid en mobiliteit. Genève begon later, maar ondersteunt sinds 1957 de oprichting van wooncoöperaties via leningen en subsidies, met de ambitie om het aandeel in de huurmarkt te verdubbelen tot 10%. In Vlaanderen ondervinden wooncoöperaties aanzienlijke belemmeringen, waarvan een deel via gerichte ingrepen op het lokale bestuursniveau kan worden verholpen. We lijsten hierbij de belangrijkste aanbevelingen op, die grotendeels ook aansluiten bij het gemeentelijk memorandum 2024 van Wooncoop en Febecoop Vlaanderen-Brussel (2024).</w:t>
      </w:r>
    </w:p>
    <w:p xmlns:wp14="http://schemas.microsoft.com/office/word/2010/wordml" w:rsidP="19FB4715" w14:paraId="021A2699" wp14:textId="11E6A45C">
      <w:pPr>
        <w:pStyle w:val="Heading4"/>
        <w:spacing w:before="240" w:beforeAutospacing="off" w:after="60" w:afterAutospacing="off"/>
        <w:ind w:left="864" w:right="0" w:hanging="864"/>
        <w:jc w:val="both"/>
      </w:pPr>
      <w:r w:rsidRPr="19FB4715" w:rsidR="30F19778">
        <w:rPr>
          <w:rFonts w:ascii="Calibri Light" w:hAnsi="Calibri Light" w:eastAsia="Calibri Light" w:cs="Calibri Light"/>
          <w:b w:val="1"/>
          <w:bCs w:val="1"/>
          <w:noProof w:val="0"/>
          <w:sz w:val="22"/>
          <w:szCs w:val="22"/>
          <w:lang w:val="nl-BE"/>
        </w:rPr>
        <w:t>Erkenning van wooncoöperaties in het lokale woonbeleid</w:t>
      </w:r>
    </w:p>
    <w:p xmlns:wp14="http://schemas.microsoft.com/office/word/2010/wordml" w:rsidP="19FB4715" w14:paraId="6B3D4FCF" wp14:textId="5216EA1D">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5688D460" wp14:textId="1C994D86">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Een eerste aanbeveling aan lokale besturen is het erkennen van wooncoöperaties als volwaardige actoren binnen het lokale woonbeleid. Bepaal de mogelijke rollen die het bestuur wil opnemen in projecten: facilitator (kader scheppen en versnellen), partner (bv. via erfpacht of beperkte aandeelhoudersrol), of opdrachtgever. Koppel daarbij elke vorm van medewerking aan heldere publieke voorwaarden zoals langdurige betaalbaarheid, niet-speculatieve bestemming, kwaliteitsvol en duurzaam beheer, en transparante toewijzingsregels. </w:t>
      </w:r>
    </w:p>
    <w:p xmlns:wp14="http://schemas.microsoft.com/office/word/2010/wordml" w:rsidP="19FB4715" w14:paraId="718F0278" wp14:textId="47F95F71">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37EF29C1" wp14:textId="30256593">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Als kwaliteits- en waarborginstrumenten kunnen bestaande kaders worden benut. Een erkenning door de Nationale Raad voor de Coöperatie kan een signaal zijn van doeloriëntatie en democratisch bestuur; een erkenning als sociale onderneming kan de niet-speculatieve doelstelling kracht bijzetten. Een verankering van een gedeelde missie kan ook juridisch worden geborgd via statuten, (erf)pacht- of verkoopvoorwaarden en, waar zinvol, een aandeelhouders- of samenwerkingsovereenkomst. Eenvoudige afspraken rond monitoring (bv. periodiek rapporteren over betaalbaarheid, bezettingsgraad en onderhoud) helpen de publieke doelstellingen opvolgen zonder onnodige administratieve last.</w:t>
      </w:r>
    </w:p>
    <w:p xmlns:wp14="http://schemas.microsoft.com/office/word/2010/wordml" w:rsidP="19FB4715" w14:paraId="6E19F54C" wp14:textId="10CAF855">
      <w:pPr>
        <w:pStyle w:val="Heading4"/>
        <w:spacing w:before="240" w:beforeAutospacing="off" w:after="60" w:afterAutospacing="off"/>
        <w:ind w:left="864" w:right="0" w:hanging="864"/>
        <w:jc w:val="both"/>
      </w:pPr>
      <w:r w:rsidRPr="19FB4715" w:rsidR="30F19778">
        <w:rPr>
          <w:rFonts w:ascii="Calibri Light" w:hAnsi="Calibri Light" w:eastAsia="Calibri Light" w:cs="Calibri Light"/>
          <w:b w:val="1"/>
          <w:bCs w:val="1"/>
          <w:noProof w:val="0"/>
          <w:sz w:val="22"/>
          <w:szCs w:val="22"/>
          <w:lang w:val="nl-BE"/>
        </w:rPr>
        <w:t>Administratieve vereenvoudiging en aangepaste normen</w:t>
      </w:r>
    </w:p>
    <w:p xmlns:wp14="http://schemas.microsoft.com/office/word/2010/wordml" w:rsidP="19FB4715" w14:paraId="3A1FB23B" wp14:textId="28997A6D">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7B1F3477" wp14:textId="3B9AF4B1">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Administratieve knelpunten (vergunning, adressering, domicilie) kunnen worden opgelost via duidelijke interne richtlijnen (bv. aparte adressen of brievenbussen waar fiscaal/administratief nodig) en toegang tot renovatie- en bouwsubsidies voor wooncoöperaties. Daarnaast kan ruimtelijke flexibiliteit worden voorzien: aangepaste parkeernormen bij aantoonbare deelmobiliteit; compactere private units gecombineerd met gedeelde ruimten; verbrede definities van gezinswoningen (bv. ook met gemeenschappelijke tuin). Een dergelijke aanpak houdt het betaalbaarheidsdoel in het vizier zonder in te boeten aan woonkwaliteit. Modeldocumenten voor gemotiveerde afwijkingen kunnen hierbij ondersteunend werken. Daarnaast kunnen nieuwe woonvormen (bv. samenhuizen, kamer- of zorgwonen) bestuurlijk helderder worden gekaderd zodat ze duidelijkheid en vertrouwen scheppen naar alle betrokken partijen.</w:t>
      </w:r>
    </w:p>
    <w:p xmlns:wp14="http://schemas.microsoft.com/office/word/2010/wordml" w:rsidP="19FB4715" w14:paraId="6CB15EE7" wp14:textId="723DF671">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79D5D5CE" wp14:textId="5CBD35BB">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Een single point of contact (SPOC) of projectmanager binnen de administratie kan het verloop van coöperatieve projecten verder vereenvoudigen. Een heldere intake en consistente interdienstelijke afstemming (wonen, RO, mobiliteit, milieu, welzijn) verkleinen de kans op tegenstrijdige adviezen en vertragingen. Modeldocumenten, zoals standaardclausules voor erfpacht/verkoop onder voorwaarden, toewijzingsreglementen, en samenwerkingsovereenkomsten kunnen transactiekosten verlagen en rechtszekerheid verhogen.</w:t>
      </w:r>
    </w:p>
    <w:p xmlns:wp14="http://schemas.microsoft.com/office/word/2010/wordml" w:rsidP="19FB4715" w14:paraId="35DB2A88" wp14:textId="2F92EE33">
      <w:pPr>
        <w:pStyle w:val="Heading4"/>
        <w:spacing w:before="240" w:beforeAutospacing="off" w:after="60" w:afterAutospacing="off"/>
        <w:ind w:left="864" w:right="0" w:hanging="864"/>
        <w:jc w:val="both"/>
      </w:pPr>
      <w:r w:rsidRPr="19FB4715" w:rsidR="30F19778">
        <w:rPr>
          <w:rFonts w:ascii="Calibri Light" w:hAnsi="Calibri Light" w:eastAsia="Calibri Light" w:cs="Calibri Light"/>
          <w:b w:val="1"/>
          <w:bCs w:val="1"/>
          <w:noProof w:val="0"/>
          <w:sz w:val="22"/>
          <w:szCs w:val="22"/>
          <w:lang w:val="nl-BE"/>
        </w:rPr>
        <w:t>Grondenbeleid en financiering</w:t>
      </w:r>
    </w:p>
    <w:p xmlns:wp14="http://schemas.microsoft.com/office/word/2010/wordml" w:rsidP="19FB4715" w14:paraId="1FB599D8" wp14:textId="6C9217EB">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3FC34FB6" wp14:textId="0CA0EB94">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Een actief en transparant grondbeleid kan coöperatieve projecten faciliteren, ook op strategische plekken en niet enkel op “restgronden”. Erfpacht of verkoop onder voorwaarden, met duidelijk omschreven maatschappelijke doelstellingen, zijn in dat verband beproefde instrumenten. Bij de toewijzing of overdracht van publieke gronden blijft het respecteren van het gelijkheidsbeginsel en de staatssteunregels een belangrijke randvoorwaarde. Deze randvoorwaarden kunnen tegelijk worden benut om betaalbaarheid en niet-speculatief gebruik duurzaam te verankeren.</w:t>
      </w:r>
    </w:p>
    <w:p xmlns:wp14="http://schemas.microsoft.com/office/word/2010/wordml" w:rsidP="19FB4715" w14:paraId="04667AA6" wp14:textId="333FC6E3">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0BB4603C" wp14:textId="144A6ABB">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Omdat coöperatieve projecten vaak met hoge voorfinanciering en lange doorlooptijden te maken hebben, kunnen besturen – binnen hun beleidsruimte – mogelijkheden om de financiering van wooncoöperaties te ondersteunen verkennen. Voorbeelden zijn gemeentelijke waarborgen, achtergestelde leningen en overbruggingskredieten. Via opstalrechten kan ook een grondaankoop worden uitgesteld tot de bouwvergunning uitvoerbaar is. In sommige gevallen kan ook het leegstandrisico ondervangen worden door middel van een samenwerking met het lokaal sociaal woonbeleid.</w:t>
      </w:r>
    </w:p>
    <w:p xmlns:wp14="http://schemas.microsoft.com/office/word/2010/wordml" w:rsidP="19FB4715" w14:paraId="766320D6" wp14:textId="51A632DD">
      <w:pPr>
        <w:pStyle w:val="Heading4"/>
        <w:spacing w:before="240" w:beforeAutospacing="off" w:after="60" w:afterAutospacing="off"/>
        <w:ind w:left="864" w:right="0" w:hanging="864"/>
        <w:jc w:val="both"/>
      </w:pPr>
      <w:r w:rsidRPr="19FB4715" w:rsidR="30F19778">
        <w:rPr>
          <w:rFonts w:ascii="Calibri Light" w:hAnsi="Calibri Light" w:eastAsia="Calibri Light" w:cs="Calibri Light"/>
          <w:b w:val="1"/>
          <w:bCs w:val="1"/>
          <w:noProof w:val="0"/>
          <w:sz w:val="22"/>
          <w:szCs w:val="22"/>
          <w:lang w:val="nl-BE"/>
        </w:rPr>
        <w:t>Duidelijke voorwaarden, zonder doelstapeling</w:t>
      </w:r>
    </w:p>
    <w:p xmlns:wp14="http://schemas.microsoft.com/office/word/2010/wordml" w:rsidP="19FB4715" w14:paraId="68ADEACA" wp14:textId="459B691B">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4D63FC9F" wp14:textId="2D0C8419">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Besturen kunnen expliciteren welke publieke meerwaarde zij in ruil voor gronduitgifte, administratieve flexibiliteit of het ondersteunen van financiering verwachten: bv. kwalitatieve buitenruimte, gedeeltelijk publiek toegankelijke voorzieningen, sociale mix of programmatie voor specifieke doelgroepen. </w:t>
      </w:r>
    </w:p>
    <w:p xmlns:wp14="http://schemas.microsoft.com/office/word/2010/wordml" w:rsidP="19FB4715" w14:paraId="55AA8F91" wp14:textId="5944D27B">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4046A35D" wp14:textId="1AC49907">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Naast het definiëren van duidelijke voorwaarden, blijft het nuttig om bij aanvang doelmatige ontwerpeisen te expliciteren en doelstapeling te vermijden die betaalbaarheid ondergraaft. Waar projecten meerdere ambities combineren (betaalbaarheid, duurzaamheid, zorg, gemeenschapsfuncties), helpt het om prioriteiten en fasering te benoemen. Intervisie of een leertraject met andere gemeenten en met financiële instellingen kan ertoe bijdragen om de wenselijkheid, haalbaarheid, en betaalbaarheid van deze projecten te balanceren.</w:t>
      </w:r>
    </w:p>
    <w:p xmlns:wp14="http://schemas.microsoft.com/office/word/2010/wordml" w:rsidP="19FB4715" w14:paraId="7D6A15C8" wp14:textId="2117EDC8">
      <w:pPr>
        <w:pStyle w:val="Heading4"/>
        <w:spacing w:before="240" w:beforeAutospacing="off" w:after="60" w:afterAutospacing="off"/>
        <w:ind w:left="864" w:right="0" w:hanging="864"/>
        <w:jc w:val="both"/>
      </w:pPr>
      <w:r w:rsidRPr="19FB4715" w:rsidR="30F19778">
        <w:rPr>
          <w:rFonts w:ascii="Calibri Light" w:hAnsi="Calibri Light" w:eastAsia="Calibri Light" w:cs="Calibri Light"/>
          <w:b w:val="1"/>
          <w:bCs w:val="1"/>
          <w:noProof w:val="0"/>
          <w:sz w:val="22"/>
          <w:szCs w:val="22"/>
          <w:lang w:val="nl-BE"/>
        </w:rPr>
        <w:t xml:space="preserve">Draagvlak </w:t>
      </w:r>
    </w:p>
    <w:p xmlns:wp14="http://schemas.microsoft.com/office/word/2010/wordml" w:rsidP="19FB4715" w14:paraId="5F6DB018" wp14:textId="3983F880">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24322BE8" wp14:textId="02AD43A6">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Transparante communicatie, onder meer via infosessies, demoprojecten, of toegankelijke projectfiches, kan misvattingen wegnemen en draagvlak in de buurt vergroten. Het delen van objectieve gegevens (bezettingsgraad, betaalbaarheidsresultaten, doorlooptijden, klachtenafhandeling) kan deze publieke verantwoording verder ondersteunen.</w:t>
      </w:r>
    </w:p>
    <w:p xmlns:wp14="http://schemas.microsoft.com/office/word/2010/wordml" w:rsidP="19FB4715" w14:paraId="4BB6804E" wp14:textId="3FA87838">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 xml:space="preserve"> </w:t>
      </w:r>
    </w:p>
    <w:p xmlns:wp14="http://schemas.microsoft.com/office/word/2010/wordml" w:rsidP="19FB4715" w14:paraId="0D52079A" wp14:textId="5F8DE284">
      <w:pPr>
        <w:spacing w:before="0" w:beforeAutospacing="off" w:after="0" w:afterAutospacing="off"/>
        <w:jc w:val="both"/>
      </w:pPr>
      <w:r w:rsidRPr="19FB4715" w:rsidR="30F19778">
        <w:rPr>
          <w:rFonts w:ascii="Calibri Light" w:hAnsi="Calibri Light" w:eastAsia="Calibri Light" w:cs="Calibri Light"/>
          <w:noProof w:val="0"/>
          <w:sz w:val="20"/>
          <w:szCs w:val="20"/>
          <w:lang w:val="nl-BE"/>
        </w:rPr>
        <w:t>Toewijzingskaders kunnen helder en toetsbaar worden gemaakt. Waar coöperaties aantoonbaar maatschappelijke taken opnemen die niet in bestaande regelingen passen, kan het bestuur verkennen of complementaire ondersteuning (in natura of financieel) verantwoord is. Tot slot kan worden overwogen om, in overleg met (boven)lokale partners, één aanspreekpunt te creëren voor burgers die interesse hebben in coöperatief wonen; dit versnelt de instroom van projecten en helpt vraag en aanbod beter te matchen.</w:t>
      </w:r>
    </w:p>
    <w:p xmlns:wp14="http://schemas.microsoft.com/office/word/2010/wordml" w14:paraId="672A6659" wp14:textId="05EB42C8"/>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fe6708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1"/>
      <w:lvlJc w:val="left"/>
      <w:pPr>
        <w:ind w:left="1440" w:hanging="360"/>
      </w:pPr>
    </w:lvl>
    <w:lvl xmlns:w="http://schemas.openxmlformats.org/wordprocessingml/2006/main" w:ilvl="2">
      <w:start w:val="1"/>
      <w:numFmt w:val="decimal"/>
      <w:lvlText w:val="%2.%3.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509EB0"/>
    <w:rsid w:val="024BF554"/>
    <w:rsid w:val="19FB4715"/>
    <w:rsid w:val="30F19778"/>
    <w:rsid w:val="3AB67E5A"/>
    <w:rsid w:val="3BA45C31"/>
    <w:rsid w:val="3F5F0853"/>
    <w:rsid w:val="43ED92F5"/>
    <w:rsid w:val="553244AC"/>
    <w:rsid w:val="5EF7B437"/>
    <w:rsid w:val="6AFA9371"/>
    <w:rsid w:val="7A509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9EB0"/>
  <w15:chartTrackingRefBased/>
  <w15:docId w15:val="{A15CAFCE-0CEF-4CF2-B6C1-518A1D68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19FB4715"/>
    <w:rPr>
      <w:rFonts w:ascii="Calibri Light" w:hAnsi="Calibri Light" w:eastAsia="" w:cs="" w:asciiTheme="majorAscii" w:hAnsiTheme="majorAscii" w:eastAsiaTheme="majorEastAsia" w:cstheme="majorBidi"/>
      <w:color w:val="2E74B5"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19FB4715"/>
    <w:rPr>
      <w:rFonts w:eastAsia="" w:cs="" w:eastAsiaTheme="majorEastAsia" w:cstheme="majorBidi"/>
      <w:color w:val="2E74B5"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qFormat/>
    <w:rsid w:val="19FB4715"/>
    <w:rPr>
      <w:rFonts w:eastAsia="" w:cs="" w:eastAsiaTheme="majorEastAsia" w:cstheme="majorBidi"/>
      <w:i w:val="1"/>
      <w:iCs w:val="1"/>
      <w:color w:val="2E74B5" w:themeColor="accent1" w:themeTint="FF" w:themeShade="BF"/>
    </w:rPr>
    <w:pPr>
      <w:keepNext w:val="1"/>
      <w:keepLines w:val="1"/>
      <w:spacing w:before="80" w:after="40"/>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fdbbc45b00b462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6789E8E72D44CA1BA5EDD2F3AC984" ma:contentTypeVersion="16" ma:contentTypeDescription="Create a new document." ma:contentTypeScope="" ma:versionID="9438f4e6d725c4db6cecba5a34b2e71e">
  <xsd:schema xmlns:xsd="http://www.w3.org/2001/XMLSchema" xmlns:xs="http://www.w3.org/2001/XMLSchema" xmlns:p="http://schemas.microsoft.com/office/2006/metadata/properties" xmlns:ns2="1ce20967-da9b-4958-aeab-a7f51a0966d6" xmlns:ns3="8db6cf36-d783-4ed8-936d-d195b957231e" targetNamespace="http://schemas.microsoft.com/office/2006/metadata/properties" ma:root="true" ma:fieldsID="d248d6c9b4b5c07615d3af6362be9824" ns2:_="" ns3:_="">
    <xsd:import namespace="1ce20967-da9b-4958-aeab-a7f51a0966d6"/>
    <xsd:import namespace="8db6cf36-d783-4ed8-936d-d195b957231e"/>
    <xsd:element name="properties">
      <xsd:complexType>
        <xsd:sequence>
          <xsd:element name="documentManagement">
            <xsd:complexType>
              <xsd:all>
                <xsd:element ref="ns2:VITODocumentType" minOccurs="0"/>
                <xsd:element ref="ns2:VITOTeam" minOccurs="0"/>
                <xsd:element ref="ns2:VITOOpportunity" minOccurs="0"/>
                <xsd:element ref="ns2:VITOProject" minOccurs="0"/>
                <xsd:element ref="ns2:VITOContactCompany" minOccurs="0"/>
                <xsd:element ref="ns2:VITOUnit"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20967-da9b-4958-aeab-a7f51a0966d6" elementFormDefault="qualified">
    <xsd:import namespace="http://schemas.microsoft.com/office/2006/documentManagement/types"/>
    <xsd:import namespace="http://schemas.microsoft.com/office/infopath/2007/PartnerControls"/>
    <xsd:element name="VITODocumentType" ma:index="8" nillable="true" ma:displayName="Document Type" ma:default="" ma:internalName="VITODocumentType">
      <xsd:simpleType>
        <xsd:union memberTypes="dms:Text">
          <xsd:simpleType>
            <xsd:restriction base="dms:Choice"/>
          </xsd:simpleType>
        </xsd:union>
      </xsd:simpleType>
    </xsd:element>
    <xsd:element name="VITOTeam" ma:index="9" nillable="true" ma:displayName="Team" ma:default="Contractadministratie" ma:internalName="VITOTeam">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VITOOpportunity" ma:index="10" nillable="true" ma:displayName="Opportunity" ma:default="" ma:internalName="VITOOpportunity">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VITOProject" ma:index="11" nillable="true" ma:displayName="Project" ma:default="" ma:internalName="VITOProject">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VITOContactCompany" ma:index="12" nillable="true" ma:displayName="Contact Company" ma:default="" ma:internalName="VITOContactCompany">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VITOUnit" ma:index="13" nillable="true" ma:displayName="Unit" ma:default="" ma:internalName="VITOUnit">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e231c6-2bd1-4ce9-8cce-f9a3ccd5657c}" ma:internalName="TaxCatchAll" ma:showField="CatchAllData" ma:web="1ce20967-da9b-4958-aeab-a7f51a0966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b6cf36-d783-4ed8-936d-d195b957231e"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20e29d-4d9b-411e-9260-307e9281c907"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ITOOpportunity xmlns="1ce20967-da9b-4958-aeab-a7f51a0966d6" xsi:nil="true"/>
    <VITOProject xmlns="1ce20967-da9b-4958-aeab-a7f51a0966d6" xsi:nil="true"/>
    <VITOContactCompany xmlns="1ce20967-da9b-4958-aeab-a7f51a0966d6" xsi:nil="true"/>
    <VITOTeam xmlns="1ce20967-da9b-4958-aeab-a7f51a0966d6">
      <Value>Contractadministratie</Value>
    </VITOTeam>
    <VITODocumentType xmlns="1ce20967-da9b-4958-aeab-a7f51a0966d6" xsi:nil="true"/>
    <VITOUnit xmlns="1ce20967-da9b-4958-aeab-a7f51a0966d6" xsi:nil="true"/>
    <TaxCatchAll xmlns="1ce20967-da9b-4958-aeab-a7f51a0966d6" xsi:nil="true"/>
    <lcf76f155ced4ddcb4097134ff3c332f xmlns="8db6cf36-d783-4ed8-936d-d195b95723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388934-E29C-49BB-8AD9-A2222BD18670}"/>
</file>

<file path=customXml/itemProps2.xml><?xml version="1.0" encoding="utf-8"?>
<ds:datastoreItem xmlns:ds="http://schemas.openxmlformats.org/officeDocument/2006/customXml" ds:itemID="{D97F7F3F-2486-4250-A28B-5AB52C930E06}"/>
</file>

<file path=customXml/itemProps3.xml><?xml version="1.0" encoding="utf-8"?>
<ds:datastoreItem xmlns:ds="http://schemas.openxmlformats.org/officeDocument/2006/customXml" ds:itemID="{4560B1CC-1075-4193-8D0B-D57C9FAB96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Van Acker</dc:creator>
  <cp:keywords/>
  <dc:description/>
  <cp:lastModifiedBy>Peggy TOTTÉ</cp:lastModifiedBy>
  <dcterms:created xsi:type="dcterms:W3CDTF">2025-10-26T20:30:35Z</dcterms:created>
  <dcterms:modified xsi:type="dcterms:W3CDTF">2025-11-06T13:18:55Z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0x0101004246789E8E72D44CA1BA5EDD2F3AC984</vt:lpwstr>
  </property>
  <property fmtid="{D5CDD505-2E9C-101B-9397-08002B2CF9AE}" pid="3" name="MediaServiceImageTags">
    <vt:lpwstr/>
  </property>
  <property fmtid="{D5CDD505-2E9C-101B-9397-08002B2CF9AE}" pid="5" name="docLang">
    <vt:lpwstr>nl</vt:lpwstr>
  </property>
</Properties>
</file>